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BACDE" w14:textId="191B6456" w:rsidR="00782ED4" w:rsidRDefault="00782ED4" w:rsidP="00782ED4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5091A1E8" wp14:editId="4D65620E">
            <wp:simplePos x="0" y="0"/>
            <wp:positionH relativeFrom="margin">
              <wp:align>center</wp:align>
            </wp:positionH>
            <wp:positionV relativeFrom="paragraph">
              <wp:posOffset>106355</wp:posOffset>
            </wp:positionV>
            <wp:extent cx="2543175" cy="756920"/>
            <wp:effectExtent l="0" t="0" r="9525" b="5080"/>
            <wp:wrapTopAndBottom/>
            <wp:docPr id="16129540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954064" name="Picture 1612954064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57" t="12052" r="15248" b="435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756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78620F" w14:textId="6119D17C" w:rsidR="00782ED4" w:rsidRPr="005F49FA" w:rsidRDefault="00DB022D" w:rsidP="00782ED4">
      <w:pPr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 xml:space="preserve">The Giving Box Project </w:t>
      </w:r>
      <w:r w:rsidR="00696A8B">
        <w:rPr>
          <w:b/>
          <w:bCs/>
          <w:i/>
          <w:iCs/>
          <w:sz w:val="36"/>
          <w:szCs w:val="36"/>
        </w:rPr>
        <w:t>-Request Form</w:t>
      </w:r>
    </w:p>
    <w:p w14:paraId="61678EA6" w14:textId="77777777" w:rsidR="009400DE" w:rsidRDefault="009400DE" w:rsidP="00782ED4">
      <w:pPr>
        <w:rPr>
          <w:b/>
          <w:bCs/>
        </w:rPr>
      </w:pPr>
    </w:p>
    <w:p w14:paraId="5901CE5C" w14:textId="1E5942E2" w:rsidR="00782ED4" w:rsidRPr="00782ED4" w:rsidRDefault="00782ED4" w:rsidP="00782ED4">
      <w:pPr>
        <w:rPr>
          <w:b/>
          <w:bCs/>
          <w:sz w:val="22"/>
          <w:szCs w:val="22"/>
        </w:rPr>
      </w:pPr>
      <w:r w:rsidRPr="00782ED4">
        <w:rPr>
          <w:b/>
          <w:bCs/>
          <w:sz w:val="22"/>
          <w:szCs w:val="22"/>
        </w:rPr>
        <w:t>Dear Community Partner,</w:t>
      </w:r>
    </w:p>
    <w:p w14:paraId="355687F3" w14:textId="68D65BF9" w:rsidR="00782ED4" w:rsidRPr="00782ED4" w:rsidRDefault="0038765F" w:rsidP="0038765F">
      <w:pPr>
        <w:rPr>
          <w:sz w:val="22"/>
          <w:szCs w:val="22"/>
        </w:rPr>
      </w:pPr>
      <w:r w:rsidRPr="00052830">
        <w:rPr>
          <w:rFonts w:ascii="Aptos" w:hAnsi="Aptos"/>
          <w:color w:val="000000"/>
          <w:sz w:val="22"/>
          <w:szCs w:val="28"/>
        </w:rPr>
        <w:t xml:space="preserve">Thank you for expressing your interest in participating in The Giving Box Project through </w:t>
      </w:r>
      <w:proofErr w:type="spellStart"/>
      <w:r w:rsidRPr="00052830">
        <w:rPr>
          <w:rFonts w:ascii="Aptos" w:hAnsi="Aptos"/>
          <w:color w:val="000000"/>
          <w:sz w:val="22"/>
          <w:szCs w:val="28"/>
        </w:rPr>
        <w:t>BridgetheGap</w:t>
      </w:r>
      <w:proofErr w:type="spellEnd"/>
      <w:r w:rsidRPr="00052830">
        <w:rPr>
          <w:rFonts w:ascii="Aptos" w:hAnsi="Aptos"/>
          <w:color w:val="000000"/>
          <w:sz w:val="22"/>
          <w:szCs w:val="28"/>
        </w:rPr>
        <w:t xml:space="preserve"> Outreach. </w:t>
      </w:r>
      <w:r w:rsidR="00782ED4" w:rsidRPr="00782ED4">
        <w:rPr>
          <w:sz w:val="22"/>
          <w:szCs w:val="22"/>
        </w:rPr>
        <w:t xml:space="preserve"> We are honored to support organizations that serve children and families</w:t>
      </w:r>
      <w:r w:rsidR="0035186D" w:rsidRPr="00052830">
        <w:rPr>
          <w:sz w:val="22"/>
          <w:szCs w:val="22"/>
        </w:rPr>
        <w:t>.</w:t>
      </w:r>
    </w:p>
    <w:p w14:paraId="150D412E" w14:textId="77777777" w:rsidR="00990FA8" w:rsidRPr="00052830" w:rsidRDefault="00990FA8" w:rsidP="00990FA8">
      <w:pPr>
        <w:pStyle w:val="Heading2"/>
        <w:rPr>
          <w:sz w:val="24"/>
          <w:szCs w:val="24"/>
        </w:rPr>
      </w:pPr>
      <w:r w:rsidRPr="00052830">
        <w:rPr>
          <w:sz w:val="24"/>
          <w:szCs w:val="24"/>
        </w:rPr>
        <w:t>Administrative Handling Fee</w:t>
      </w:r>
    </w:p>
    <w:p w14:paraId="05E2D6DD" w14:textId="4CD316E4" w:rsidR="00990FA8" w:rsidRPr="00052830" w:rsidRDefault="00990FA8" w:rsidP="00990FA8">
      <w:pPr>
        <w:rPr>
          <w:sz w:val="22"/>
          <w:szCs w:val="22"/>
        </w:rPr>
      </w:pPr>
      <w:r w:rsidRPr="00052830">
        <w:rPr>
          <w:sz w:val="22"/>
          <w:szCs w:val="22"/>
        </w:rPr>
        <w:t xml:space="preserve">As part of our distribution process, we apply an administrative handling fee to each request. This fee ranges from a minimum of $50 to a maximum of $150.00. The exact amount is determined based on what </w:t>
      </w:r>
      <w:proofErr w:type="gramStart"/>
      <w:r w:rsidRPr="00052830">
        <w:rPr>
          <w:sz w:val="22"/>
          <w:szCs w:val="22"/>
        </w:rPr>
        <w:t>is considered to be</w:t>
      </w:r>
      <w:proofErr w:type="gramEnd"/>
      <w:r w:rsidRPr="00052830">
        <w:rPr>
          <w:sz w:val="22"/>
          <w:szCs w:val="22"/>
        </w:rPr>
        <w:t xml:space="preserve"> the Fair Market Value (FMV) of the items distributed. This policy ensures that we can continue to provide support efficiently and sustainably to the families and organizations we serve.</w:t>
      </w:r>
    </w:p>
    <w:p w14:paraId="53AA37AA" w14:textId="5FACDE8E" w:rsidR="00782ED4" w:rsidRPr="00782ED4" w:rsidRDefault="00782ED4" w:rsidP="00782ED4">
      <w:pPr>
        <w:rPr>
          <w:sz w:val="22"/>
          <w:szCs w:val="22"/>
        </w:rPr>
      </w:pPr>
      <w:r w:rsidRPr="00782ED4">
        <w:rPr>
          <w:sz w:val="22"/>
          <w:szCs w:val="22"/>
        </w:rPr>
        <w:t xml:space="preserve">This fee does </w:t>
      </w:r>
      <w:r w:rsidRPr="00782ED4">
        <w:rPr>
          <w:b/>
          <w:bCs/>
          <w:sz w:val="22"/>
          <w:szCs w:val="22"/>
        </w:rPr>
        <w:t>not</w:t>
      </w:r>
      <w:r w:rsidRPr="00782ED4">
        <w:rPr>
          <w:sz w:val="22"/>
          <w:szCs w:val="22"/>
        </w:rPr>
        <w:t xml:space="preserve"> represent a charge for the donated </w:t>
      </w:r>
      <w:r w:rsidR="0035186D" w:rsidRPr="00052830">
        <w:rPr>
          <w:sz w:val="22"/>
          <w:szCs w:val="22"/>
        </w:rPr>
        <w:t>items</w:t>
      </w:r>
      <w:r w:rsidRPr="00782ED4">
        <w:rPr>
          <w:sz w:val="22"/>
          <w:szCs w:val="22"/>
        </w:rPr>
        <w:t>. Instead, it supports the operational costs associated with preparing and distributing items, including sorting, storage, packaging, labeling, scheduling, transportation coordination, volunteer management, and administrative oversight.</w:t>
      </w:r>
    </w:p>
    <w:p w14:paraId="44264C0D" w14:textId="77777777" w:rsidR="00782ED4" w:rsidRPr="00782ED4" w:rsidRDefault="00782ED4" w:rsidP="00782ED4">
      <w:pPr>
        <w:rPr>
          <w:sz w:val="22"/>
          <w:szCs w:val="22"/>
        </w:rPr>
      </w:pPr>
      <w:r w:rsidRPr="00782ED4">
        <w:rPr>
          <w:sz w:val="22"/>
          <w:szCs w:val="22"/>
        </w:rPr>
        <w:t>This practice is consistent with national standards used by Good360, Feeding America affiliates, diaper banks, and donation redistribution centers. It ensures that we can continue providing high-quality support to families throughout the community.</w:t>
      </w:r>
    </w:p>
    <w:p w14:paraId="3DF431D5" w14:textId="0D12C0D7" w:rsidR="00782ED4" w:rsidRPr="00782ED4" w:rsidRDefault="00782ED4" w:rsidP="00782ED4">
      <w:pPr>
        <w:rPr>
          <w:sz w:val="22"/>
          <w:szCs w:val="22"/>
        </w:rPr>
      </w:pPr>
      <w:r w:rsidRPr="00782ED4">
        <w:rPr>
          <w:sz w:val="22"/>
          <w:szCs w:val="22"/>
        </w:rPr>
        <w:t xml:space="preserve">We appreciate your partnership and your commitment to helping local families. </w:t>
      </w:r>
      <w:r w:rsidR="005F49FA" w:rsidRPr="00052830">
        <w:rPr>
          <w:sz w:val="22"/>
          <w:szCs w:val="22"/>
        </w:rPr>
        <w:t xml:space="preserve"> </w:t>
      </w:r>
      <w:r w:rsidRPr="00782ED4">
        <w:rPr>
          <w:sz w:val="22"/>
          <w:szCs w:val="22"/>
        </w:rPr>
        <w:t>Should you have any questions, please feel free to contact us at any time</w:t>
      </w:r>
      <w:r w:rsidR="005F49FA" w:rsidRPr="00052830">
        <w:rPr>
          <w:sz w:val="22"/>
          <w:szCs w:val="22"/>
        </w:rPr>
        <w:t xml:space="preserve"> at </w:t>
      </w:r>
      <w:hyperlink r:id="rId6" w:history="1">
        <w:r w:rsidR="005F49FA" w:rsidRPr="00052830">
          <w:rPr>
            <w:rStyle w:val="Hyperlink"/>
            <w:sz w:val="22"/>
            <w:szCs w:val="22"/>
          </w:rPr>
          <w:t>info@bridgethegapoutreach.org</w:t>
        </w:r>
      </w:hyperlink>
      <w:r w:rsidR="005F49FA" w:rsidRPr="00052830">
        <w:rPr>
          <w:sz w:val="22"/>
          <w:szCs w:val="22"/>
        </w:rPr>
        <w:t xml:space="preserve"> or by calling (757) 338-1192</w:t>
      </w:r>
      <w:r w:rsidRPr="00782ED4">
        <w:rPr>
          <w:sz w:val="22"/>
          <w:szCs w:val="22"/>
        </w:rPr>
        <w:t>.</w:t>
      </w:r>
    </w:p>
    <w:p w14:paraId="5C287FEF" w14:textId="77777777" w:rsidR="00782ED4" w:rsidRPr="00782ED4" w:rsidRDefault="00782ED4" w:rsidP="00782ED4">
      <w:pPr>
        <w:rPr>
          <w:sz w:val="22"/>
          <w:szCs w:val="22"/>
        </w:rPr>
      </w:pPr>
      <w:r w:rsidRPr="00782ED4">
        <w:rPr>
          <w:sz w:val="22"/>
          <w:szCs w:val="22"/>
        </w:rPr>
        <w:t>Thank you again for your collaboration and service.</w:t>
      </w:r>
    </w:p>
    <w:p w14:paraId="18C0DF93" w14:textId="77777777" w:rsidR="00782ED4" w:rsidRPr="00782ED4" w:rsidRDefault="00782ED4" w:rsidP="00782ED4">
      <w:pPr>
        <w:rPr>
          <w:sz w:val="20"/>
          <w:szCs w:val="20"/>
        </w:rPr>
      </w:pPr>
      <w:r w:rsidRPr="00782ED4">
        <w:rPr>
          <w:sz w:val="20"/>
          <w:szCs w:val="20"/>
        </w:rPr>
        <w:t>Warm regards,</w:t>
      </w:r>
      <w:r w:rsidRPr="00782ED4">
        <w:rPr>
          <w:sz w:val="20"/>
          <w:szCs w:val="20"/>
        </w:rPr>
        <w:br/>
      </w:r>
      <w:r w:rsidRPr="00782ED4">
        <w:rPr>
          <w:rFonts w:ascii="Cochocib Script Latin Pro" w:hAnsi="Cochocib Script Latin Pro"/>
          <w:sz w:val="28"/>
          <w:szCs w:val="28"/>
        </w:rPr>
        <w:t>Jennifer Branham</w:t>
      </w:r>
      <w:r w:rsidRPr="00782ED4">
        <w:rPr>
          <w:b/>
          <w:bCs/>
          <w:sz w:val="20"/>
          <w:szCs w:val="20"/>
        </w:rPr>
        <w:br/>
      </w:r>
      <w:r w:rsidRPr="00782ED4">
        <w:rPr>
          <w:sz w:val="16"/>
          <w:szCs w:val="16"/>
        </w:rPr>
        <w:t>Founder &amp; Executive Director</w:t>
      </w:r>
      <w:r w:rsidRPr="00782ED4">
        <w:rPr>
          <w:b/>
          <w:bCs/>
          <w:sz w:val="20"/>
          <w:szCs w:val="20"/>
        </w:rPr>
        <w:br/>
      </w:r>
      <w:proofErr w:type="spellStart"/>
      <w:r w:rsidRPr="00782ED4">
        <w:rPr>
          <w:b/>
          <w:bCs/>
          <w:sz w:val="16"/>
          <w:szCs w:val="16"/>
        </w:rPr>
        <w:t>BridgetheGap</w:t>
      </w:r>
      <w:proofErr w:type="spellEnd"/>
      <w:r w:rsidRPr="00782ED4">
        <w:rPr>
          <w:b/>
          <w:bCs/>
          <w:sz w:val="16"/>
          <w:szCs w:val="16"/>
        </w:rPr>
        <w:t xml:space="preserve"> Outreach / Divine Distribution</w:t>
      </w:r>
    </w:p>
    <w:p w14:paraId="18D8ED0E" w14:textId="492B5499" w:rsidR="009400DE" w:rsidRPr="009400DE" w:rsidRDefault="009400DE" w:rsidP="0035186D">
      <w:pPr>
        <w:rPr>
          <w:b/>
          <w:bCs/>
          <w:sz w:val="20"/>
          <w:szCs w:val="20"/>
        </w:rPr>
      </w:pPr>
      <w:r w:rsidRPr="009400DE">
        <w:rPr>
          <w:b/>
          <w:bCs/>
          <w:sz w:val="20"/>
          <w:szCs w:val="20"/>
        </w:rPr>
        <w:t>*************************************************************************************</w:t>
      </w:r>
    </w:p>
    <w:p w14:paraId="2EA5704F" w14:textId="63FDC0C3" w:rsidR="0035186D" w:rsidRPr="009400DE" w:rsidRDefault="0035186D" w:rsidP="0035186D">
      <w:pPr>
        <w:rPr>
          <w:sz w:val="20"/>
          <w:szCs w:val="20"/>
          <w:u w:val="single"/>
        </w:rPr>
      </w:pPr>
      <w:r w:rsidRPr="009400DE">
        <w:rPr>
          <w:sz w:val="20"/>
          <w:szCs w:val="20"/>
          <w:u w:val="single"/>
        </w:rPr>
        <w:t>Type of Distribution:</w:t>
      </w:r>
    </w:p>
    <w:p w14:paraId="1BD25647" w14:textId="4E6DDCBB" w:rsidR="0035186D" w:rsidRPr="009400DE" w:rsidRDefault="00626CAC" w:rsidP="0035186D">
      <w:pPr>
        <w:spacing w:after="0" w:line="240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-399440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F4962">
        <w:rPr>
          <w:sz w:val="20"/>
          <w:szCs w:val="20"/>
        </w:rPr>
        <w:t>$25 Supports an individual</w:t>
      </w:r>
    </w:p>
    <w:p w14:paraId="4315B9BE" w14:textId="11D983FF" w:rsidR="00782ED4" w:rsidRDefault="00626CAC" w:rsidP="0097545B">
      <w:pPr>
        <w:spacing w:after="0" w:line="240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-116907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97545B">
        <w:rPr>
          <w:sz w:val="20"/>
          <w:szCs w:val="20"/>
        </w:rPr>
        <w:t xml:space="preserve">$50 Supports a </w:t>
      </w:r>
      <w:r w:rsidR="003565AA">
        <w:rPr>
          <w:sz w:val="20"/>
          <w:szCs w:val="20"/>
        </w:rPr>
        <w:t>family of two</w:t>
      </w:r>
    </w:p>
    <w:p w14:paraId="7D9BF7F4" w14:textId="6C21D00D" w:rsidR="003565AA" w:rsidRDefault="00626CAC" w:rsidP="0097545B">
      <w:pPr>
        <w:spacing w:after="0" w:line="240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-9261140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565AA">
        <w:rPr>
          <w:sz w:val="20"/>
          <w:szCs w:val="20"/>
        </w:rPr>
        <w:t xml:space="preserve">$100 Supports a family of </w:t>
      </w:r>
      <w:r w:rsidR="00BD488A">
        <w:rPr>
          <w:sz w:val="20"/>
          <w:szCs w:val="20"/>
        </w:rPr>
        <w:t>three-four</w:t>
      </w:r>
    </w:p>
    <w:p w14:paraId="40DE60F2" w14:textId="1D1CB7C3" w:rsidR="00BD488A" w:rsidRDefault="00626CAC" w:rsidP="0097545B">
      <w:pPr>
        <w:spacing w:after="0" w:line="240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12967232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BD488A">
        <w:rPr>
          <w:sz w:val="20"/>
          <w:szCs w:val="20"/>
        </w:rPr>
        <w:t xml:space="preserve">$150 Supports a family of </w:t>
      </w:r>
      <w:r>
        <w:rPr>
          <w:sz w:val="20"/>
          <w:szCs w:val="20"/>
        </w:rPr>
        <w:t>five and more</w:t>
      </w:r>
    </w:p>
    <w:p w14:paraId="4D43FA98" w14:textId="77777777" w:rsidR="00626CAC" w:rsidRPr="009400DE" w:rsidRDefault="00626CAC" w:rsidP="0097545B">
      <w:pPr>
        <w:spacing w:after="0" w:line="240" w:lineRule="auto"/>
        <w:rPr>
          <w:sz w:val="20"/>
          <w:szCs w:val="20"/>
        </w:rPr>
      </w:pPr>
    </w:p>
    <w:p w14:paraId="114D9626" w14:textId="4D094D6C" w:rsidR="009400DE" w:rsidRDefault="009400DE" w:rsidP="0035186D">
      <w:pPr>
        <w:spacing w:after="0" w:line="240" w:lineRule="auto"/>
        <w:rPr>
          <w:sz w:val="20"/>
          <w:szCs w:val="20"/>
        </w:rPr>
      </w:pPr>
      <w:r w:rsidRPr="009400DE">
        <w:rPr>
          <w:sz w:val="20"/>
          <w:szCs w:val="20"/>
        </w:rPr>
        <w:t xml:space="preserve">Organization: _____________________________________ </w:t>
      </w:r>
      <w:r>
        <w:rPr>
          <w:sz w:val="20"/>
          <w:szCs w:val="20"/>
        </w:rPr>
        <w:t xml:space="preserve">FMV: _________  </w:t>
      </w:r>
    </w:p>
    <w:p w14:paraId="13460B7D" w14:textId="77777777" w:rsidR="005F49FA" w:rsidRDefault="005F49FA" w:rsidP="0035186D">
      <w:pPr>
        <w:spacing w:after="0" w:line="240" w:lineRule="auto"/>
        <w:rPr>
          <w:sz w:val="20"/>
          <w:szCs w:val="20"/>
        </w:rPr>
      </w:pPr>
    </w:p>
    <w:p w14:paraId="1F0B5D0D" w14:textId="77777777" w:rsidR="009400DE" w:rsidRDefault="009400DE" w:rsidP="0035186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Representative:</w:t>
      </w:r>
      <w:r>
        <w:rPr>
          <w:sz w:val="20"/>
          <w:szCs w:val="20"/>
        </w:rPr>
        <w:tab/>
        <w:t>___________________________________</w:t>
      </w:r>
      <w:r w:rsidRPr="009400DE">
        <w:rPr>
          <w:sz w:val="20"/>
          <w:szCs w:val="20"/>
        </w:rPr>
        <w:t xml:space="preserve">Date: _____________________________ </w:t>
      </w:r>
    </w:p>
    <w:p w14:paraId="42B6C82A" w14:textId="77777777" w:rsidR="009400DE" w:rsidRDefault="009400DE" w:rsidP="0035186D">
      <w:pPr>
        <w:spacing w:after="0" w:line="240" w:lineRule="auto"/>
        <w:rPr>
          <w:sz w:val="20"/>
          <w:szCs w:val="20"/>
        </w:rPr>
      </w:pPr>
    </w:p>
    <w:p w14:paraId="236D7699" w14:textId="08C33D27" w:rsidR="0035186D" w:rsidRPr="009400DE" w:rsidRDefault="005F49FA" w:rsidP="0035186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Administrative Fee: ________________________________</w:t>
      </w:r>
      <w:r w:rsidR="009400DE" w:rsidRPr="009400DE">
        <w:rPr>
          <w:sz w:val="20"/>
          <w:szCs w:val="20"/>
        </w:rPr>
        <w:t>Payment</w:t>
      </w:r>
      <w:r w:rsidR="009400DE">
        <w:rPr>
          <w:sz w:val="20"/>
          <w:szCs w:val="20"/>
        </w:rPr>
        <w:t xml:space="preserve"> Method</w:t>
      </w:r>
      <w:r w:rsidR="009400DE" w:rsidRPr="009400DE">
        <w:rPr>
          <w:sz w:val="20"/>
          <w:szCs w:val="20"/>
        </w:rPr>
        <w:t>: ___________________________</w:t>
      </w:r>
    </w:p>
    <w:sectPr w:rsidR="0035186D" w:rsidRPr="009400DE" w:rsidSect="003E187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chocib Script Latin Pro">
    <w:charset w:val="00"/>
    <w:family w:val="auto"/>
    <w:pitch w:val="variable"/>
    <w:sig w:usb0="A00000AF" w:usb1="50000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E80BCD"/>
    <w:multiLevelType w:val="multilevel"/>
    <w:tmpl w:val="BD724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4169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ED4"/>
    <w:rsid w:val="00027B30"/>
    <w:rsid w:val="00052830"/>
    <w:rsid w:val="00250B3E"/>
    <w:rsid w:val="0035186D"/>
    <w:rsid w:val="003565AA"/>
    <w:rsid w:val="0038765F"/>
    <w:rsid w:val="003E1870"/>
    <w:rsid w:val="00491BC9"/>
    <w:rsid w:val="005513C3"/>
    <w:rsid w:val="005F49FA"/>
    <w:rsid w:val="00626CAC"/>
    <w:rsid w:val="00696A8B"/>
    <w:rsid w:val="00782ED4"/>
    <w:rsid w:val="0086579B"/>
    <w:rsid w:val="009400DE"/>
    <w:rsid w:val="0097545B"/>
    <w:rsid w:val="00990FA8"/>
    <w:rsid w:val="00BD488A"/>
    <w:rsid w:val="00DB022D"/>
    <w:rsid w:val="00F101E9"/>
    <w:rsid w:val="00F60703"/>
    <w:rsid w:val="00FF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EE26F"/>
  <w15:chartTrackingRefBased/>
  <w15:docId w15:val="{A39A0C0A-22F0-4DC4-9736-B37520E4B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2E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2E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2E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2E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2E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2E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2E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2E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2E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2E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82E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2E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2E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2E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2E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2E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2E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2E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2E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2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2E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2E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2E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2E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2E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2E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2E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2E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2ED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F49F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49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bridgethegapoutreach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1982</Characters>
  <Application>Microsoft Office Word</Application>
  <DocSecurity>0</DocSecurity>
  <Lines>68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Branham</dc:creator>
  <cp:keywords/>
  <dc:description/>
  <cp:lastModifiedBy>Jennifer Branham</cp:lastModifiedBy>
  <cp:revision>7</cp:revision>
  <cp:lastPrinted>2025-12-16T11:01:00Z</cp:lastPrinted>
  <dcterms:created xsi:type="dcterms:W3CDTF">2025-12-16T11:01:00Z</dcterms:created>
  <dcterms:modified xsi:type="dcterms:W3CDTF">2025-12-16T11:51:00Z</dcterms:modified>
</cp:coreProperties>
</file>